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8B" w:rsidRDefault="001800E7">
      <w:pPr>
        <w:pStyle w:val="Standard"/>
        <w:spacing w:before="100" w:after="10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bCs/>
          <w:sz w:val="27"/>
          <w:szCs w:val="27"/>
          <w:lang w:eastAsia="pl-PL"/>
        </w:rPr>
        <w:t>Instrukcja dla Sygnalistów</w:t>
      </w:r>
    </w:p>
    <w:p w:rsidR="008F4B8B" w:rsidRDefault="001800E7">
      <w:pPr>
        <w:pStyle w:val="Standard"/>
        <w:spacing w:before="100" w:after="100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W Komendzie Miejskiej Policji w Słupsku</w:t>
      </w:r>
      <w:r>
        <w:rPr>
          <w:rFonts w:ascii="Arial" w:hAnsi="Arial" w:cs="Times New Roman"/>
        </w:rPr>
        <w:t xml:space="preserve"> obowiązuje </w:t>
      </w:r>
      <w:r>
        <w:rPr>
          <w:rFonts w:ascii="Arial" w:eastAsia="Times New Roman" w:hAnsi="Arial" w:cs="Times New Roman"/>
          <w:b/>
          <w:bCs/>
          <w:i/>
          <w:sz w:val="24"/>
          <w:szCs w:val="24"/>
          <w:lang w:eastAsia="pl-PL"/>
        </w:rPr>
        <w:t>Wewnętrzna procedura dokonywania zgłoszeń naruszeń prawa i podejmowania działań następczych</w:t>
      </w:r>
    </w:p>
    <w:p w:rsidR="008F4B8B" w:rsidRDefault="001800E7">
      <w:pPr>
        <w:pStyle w:val="Standard"/>
        <w:spacing w:before="100" w:after="10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Cel Procedury: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Procedura ma na celu zapewnienie bezpiecznego i poufnego sposobu zgłaszania nieprawidłowości przez policjantów, pracowników cywilnych ora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z inne osoby związane z Komendą Miejską Policji w Słupsku. Procedura umożliwia zgłaszanie działań niezgodnych z prawem i zapewnia ochronę przed działaniami odwetowymi.</w:t>
      </w:r>
    </w:p>
    <w:p w:rsidR="008F4B8B" w:rsidRDefault="001800E7">
      <w:pPr>
        <w:pStyle w:val="Standard"/>
        <w:spacing w:before="100" w:after="10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Zakres Procedury: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Procedura dotyczy wszystkich policjantów, pracowników, współpracownikó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w, kontrahentów                 i innych osób związanych z Komendą Miejską Policji w Słupsku i podległymi jednostkami.</w:t>
      </w:r>
    </w:p>
    <w:p w:rsidR="008F4B8B" w:rsidRDefault="001800E7">
      <w:pPr>
        <w:pStyle w:val="Standard"/>
        <w:spacing w:before="100" w:after="100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Rodzaje Naruszeń: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Sygnalista może zgłaszać nieprawidłowości dotyczące taki obszarów jak: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korupcja;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zamówienia publiczne;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usługi, produkt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y i rynki finansowe;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przeciwdziałanie praniu pieniędzy i finansowaniu terroryzmu,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bezpieczeństwo produktów i ich zgodność z wymogami,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bezpieczeństwo transportu;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ochrona środowiska;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ochrona radiologiczna i bezpieczeństwo jądrowe,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bezpieczeństwo żywności i 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pasz;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560" w:hanging="426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zdrowie i dobrostan zwierząt;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560" w:hanging="426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zdrowie publiczne;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560" w:hanging="426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ochrona konsumentów;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560" w:hanging="426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ochrona prywatności i danych osobowych;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560" w:hanging="426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bezpieczeństwo sieci i systemów teleinformatycznych;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560" w:hanging="426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interesy finansowe Skarbu Państwa, jednostek samorządu terytorialnego oraz Unii Europej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skiej;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560" w:hanging="426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rynek wewnętrzny Unii Europejskiej;</w:t>
      </w:r>
    </w:p>
    <w:p w:rsidR="008F4B8B" w:rsidRDefault="001800E7">
      <w:pPr>
        <w:pStyle w:val="Standard"/>
        <w:numPr>
          <w:ilvl w:val="1"/>
          <w:numId w:val="5"/>
        </w:numPr>
        <w:spacing w:after="0" w:line="240" w:lineRule="auto"/>
        <w:ind w:left="1560" w:hanging="426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konstytucyjne wolności i prawa człowieka, pojawiające się na styku organu 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Times New Roman"/>
          <w:sz w:val="18"/>
          <w:szCs w:val="18"/>
          <w:lang w:eastAsia="pl-PL"/>
        </w:rPr>
        <w:t>z obywatelem, niezwiązane z pkt 1-16.</w:t>
      </w:r>
    </w:p>
    <w:p w:rsidR="008F4B8B" w:rsidRDefault="001800E7">
      <w:pPr>
        <w:pStyle w:val="Standard"/>
        <w:spacing w:before="100" w:after="100" w:line="240" w:lineRule="auto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Sposoby Zgłaszania Nieprawidłowości:</w:t>
      </w:r>
    </w:p>
    <w:p w:rsidR="008F4B8B" w:rsidRDefault="001800E7">
      <w:pPr>
        <w:pStyle w:val="Standard"/>
        <w:numPr>
          <w:ilvl w:val="0"/>
          <w:numId w:val="6"/>
        </w:numPr>
        <w:spacing w:before="100" w:after="100" w:line="240" w:lineRule="auto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Ustnie:</w:t>
      </w:r>
    </w:p>
    <w:p w:rsidR="008F4B8B" w:rsidRDefault="001800E7">
      <w:pPr>
        <w:pStyle w:val="Standard"/>
        <w:numPr>
          <w:ilvl w:val="1"/>
          <w:numId w:val="2"/>
        </w:numPr>
        <w:spacing w:before="100" w:after="10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Podczas osobistej wizyty w jednostce Policji, w ramach 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spotkania zorganizowanego na wniosek</w:t>
      </w:r>
    </w:p>
    <w:p w:rsidR="008F4B8B" w:rsidRDefault="001800E7">
      <w:pPr>
        <w:pStyle w:val="Standard"/>
        <w:numPr>
          <w:ilvl w:val="0"/>
          <w:numId w:val="2"/>
        </w:numPr>
        <w:spacing w:before="100" w:after="100" w:line="240" w:lineRule="auto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Pisemnie:</w:t>
      </w:r>
    </w:p>
    <w:p w:rsidR="008F4B8B" w:rsidRDefault="001800E7">
      <w:pPr>
        <w:pStyle w:val="Standard"/>
        <w:numPr>
          <w:ilvl w:val="1"/>
          <w:numId w:val="2"/>
        </w:numPr>
        <w:spacing w:before="100" w:after="10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w formie papierowej - zgłoszenie dostarczone osobiście do jednostki Policji w zamkniętej kopercie opatrzonej dopiskiem „Zgłoszenie wewnętrzne – do rąk własnych koordynatora procedury”;</w:t>
      </w:r>
    </w:p>
    <w:p w:rsidR="008F4B8B" w:rsidRDefault="001800E7">
      <w:pPr>
        <w:pStyle w:val="Standard"/>
        <w:numPr>
          <w:ilvl w:val="1"/>
          <w:numId w:val="2"/>
        </w:numPr>
        <w:spacing w:before="100" w:after="100" w:line="24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listownie – zgłoszenie p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rzesłane za pośrednictwem operatora pocztowego na adres KMP w Słupsku, Aleja 3 Maja 1, 76- 200 Słupsk - z dopiskiem „Zgłoszenie wewnętrzne – do rąk własnych koordynatora procedury”.</w:t>
      </w:r>
    </w:p>
    <w:p w:rsidR="008F4B8B" w:rsidRDefault="001800E7">
      <w:pPr>
        <w:pStyle w:val="Standard"/>
        <w:spacing w:before="100" w:after="100" w:line="240" w:lineRule="auto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Ochrona Sygnalistów:</w:t>
      </w:r>
    </w:p>
    <w:p w:rsidR="008F4B8B" w:rsidRDefault="001800E7">
      <w:pPr>
        <w:pStyle w:val="Standard"/>
        <w:numPr>
          <w:ilvl w:val="0"/>
          <w:numId w:val="7"/>
        </w:numPr>
        <w:spacing w:before="100" w:after="10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Poufność: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Twoja tożsamość będzie chroniona. Dane osobowe nie zostaną ujawnione bez Twojej zgody, chyba że wymaga tego prawo.</w:t>
      </w:r>
    </w:p>
    <w:p w:rsidR="008F4B8B" w:rsidRDefault="001800E7">
      <w:pPr>
        <w:pStyle w:val="Standard"/>
        <w:numPr>
          <w:ilvl w:val="0"/>
          <w:numId w:val="3"/>
        </w:numPr>
        <w:spacing w:before="100" w:after="10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Zakaz Działań Odwetowych: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Zabrania się podejmowania jakichkolwiek działań odwetowych wobec sygnalistów. Będziemy monitorować, czy nie są pod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ejmowane działania odwetowe wobec sygnalistów                   i sprawdzać każdą informację, jaką przekażesz nam w tej sprawie</w:t>
      </w:r>
    </w:p>
    <w:p w:rsidR="008F4B8B" w:rsidRDefault="001800E7">
      <w:pPr>
        <w:pStyle w:val="Standard"/>
        <w:spacing w:before="100" w:after="100" w:line="240" w:lineRule="auto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Działania Następcze:</w:t>
      </w:r>
    </w:p>
    <w:p w:rsidR="008F4B8B" w:rsidRDefault="001800E7">
      <w:pPr>
        <w:pStyle w:val="Standard"/>
        <w:numPr>
          <w:ilvl w:val="0"/>
          <w:numId w:val="8"/>
        </w:numPr>
        <w:spacing w:before="100" w:after="100" w:line="24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Zgłoszenie zostanie ocenione pod kątem zasadności - w przypadku potwierdzenia zasadności zostaną podjęte o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dpowiednie działania.</w:t>
      </w:r>
    </w:p>
    <w:p w:rsidR="008F4B8B" w:rsidRDefault="001800E7">
      <w:pPr>
        <w:pStyle w:val="Standard"/>
        <w:numPr>
          <w:ilvl w:val="0"/>
          <w:numId w:val="4"/>
        </w:numPr>
        <w:spacing w:before="100" w:after="100" w:line="24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Informacja zwrotna zostanie przekazana w terminie do 3 miesięcy od potwierdzenia przyjęcia zgłoszenia.</w:t>
      </w:r>
    </w:p>
    <w:p w:rsidR="008F4B8B" w:rsidRDefault="001800E7">
      <w:pPr>
        <w:pStyle w:val="Standard"/>
        <w:spacing w:before="100" w:after="100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Jak Uczestniczyć w Procedurze: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Jeśli zauważysz nieprawidłowości, możesz je zgłosić za pomocą wskazanych powyżej kanałów. Zgłoszeni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e zostanie rozpatrzone przez Koordynatora lub upoważniony Zespół ekspertów, który podejmie odpowiednie działania następcze.</w:t>
      </w:r>
    </w:p>
    <w:p w:rsidR="008F4B8B" w:rsidRDefault="001800E7">
      <w:pPr>
        <w:pStyle w:val="Standard"/>
        <w:spacing w:before="100" w:after="10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Dzięki Twojemu zgłoszeniu możemy wspólnie dbać o przestrzeganie prawa w naszej instytucji.</w:t>
      </w:r>
    </w:p>
    <w:p w:rsidR="008F4B8B" w:rsidRDefault="001800E7">
      <w:pPr>
        <w:pStyle w:val="Standard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Zakładka 1.</w:t>
      </w:r>
    </w:p>
    <w:p w:rsidR="008F4B8B" w:rsidRDefault="001800E7">
      <w:pPr>
        <w:pStyle w:val="Standard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- Pouczenie RODO</w:t>
      </w:r>
    </w:p>
    <w:p w:rsidR="008F4B8B" w:rsidRDefault="001800E7">
      <w:pPr>
        <w:pStyle w:val="Standard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Zakładka 2.</w:t>
      </w:r>
    </w:p>
    <w:p w:rsidR="008F4B8B" w:rsidRDefault="001800E7">
      <w:pPr>
        <w:pStyle w:val="Standard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- Pouczenie o prawach i obowiązkach sygnalisty</w:t>
      </w:r>
    </w:p>
    <w:p w:rsidR="008F4B8B" w:rsidRDefault="008F4B8B">
      <w:pPr>
        <w:pStyle w:val="Standard"/>
        <w:spacing w:before="100" w:after="100" w:line="240" w:lineRule="auto"/>
      </w:pPr>
    </w:p>
    <w:sectPr w:rsidR="008F4B8B">
      <w:headerReference w:type="default" r:id="rId7"/>
      <w:pgSz w:w="11906" w:h="16838"/>
      <w:pgMar w:top="1417" w:right="1134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00E7">
      <w:pPr>
        <w:spacing w:after="0" w:line="240" w:lineRule="auto"/>
      </w:pPr>
      <w:r>
        <w:separator/>
      </w:r>
    </w:p>
  </w:endnote>
  <w:endnote w:type="continuationSeparator" w:id="0">
    <w:p w:rsidR="00000000" w:rsidRDefault="0018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00E7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18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DE" w:rsidRDefault="001800E7">
    <w:pPr>
      <w:pStyle w:val="Nagwek"/>
      <w:jc w:val="right"/>
    </w:pPr>
    <w:r>
      <w:rPr>
        <w:i/>
        <w:color w:val="5B9BD5"/>
      </w:rPr>
      <w:t>Załącznik do procedury § 13 ust. 1 pkt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0293C"/>
    <w:multiLevelType w:val="multilevel"/>
    <w:tmpl w:val="2194990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0622047"/>
    <w:multiLevelType w:val="multilevel"/>
    <w:tmpl w:val="E910D2D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420E4C78"/>
    <w:multiLevelType w:val="multilevel"/>
    <w:tmpl w:val="B4F4A4E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38E419D"/>
    <w:multiLevelType w:val="multilevel"/>
    <w:tmpl w:val="E084C88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98212EE"/>
    <w:multiLevelType w:val="multilevel"/>
    <w:tmpl w:val="EFAA106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0"/>
    <w:lvlOverride w:ilvl="0"/>
  </w:num>
  <w:num w:numId="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4B8B"/>
    <w:rsid w:val="001800E7"/>
    <w:rsid w:val="008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05720-92AC-48E5-812E-09077518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1</dc:title>
  <dc:creator>Admin</dc:creator>
  <cp:lastModifiedBy>Kamil Hrehorowicz</cp:lastModifiedBy>
  <cp:revision>2</cp:revision>
  <cp:lastPrinted>2024-09-16T09:52:00Z</cp:lastPrinted>
  <dcterms:created xsi:type="dcterms:W3CDTF">2024-12-11T10:54:00Z</dcterms:created>
  <dcterms:modified xsi:type="dcterms:W3CDTF">2024-12-11T10:54:00Z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